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51</w:t>
      </w:r>
    </w:p>
    <w:p>
      <w:r>
        <w:t>Bundesgericht (BGE), 1978-03-16, DE</w:t>
      </w:r>
    </w:p>
    <w:p>
      <w:r>
        <w:rPr>
          <w:b/>
        </w:rPr>
        <w:t xml:space="preserve">Quelle: </w:t>
      </w:r>
      <w:r>
        <w:t>https://mcp.opencaselaw.ch/entscheid/bge_104 V 51</w:t>
      </w:r>
    </w:p>
    <w:p>
      <w:r>
        <w:t>FR: ATF 104 V 51</w:t>
      </w:r>
    </w:p>
    <w:p>
      <w:r>
        <w:t>IT: DTF 104 V 51</w:t>
      </w:r>
    </w:p>
    <w:p>
      <w:pPr>
        <w:pStyle w:val="Heading2"/>
      </w:pPr>
      <w:r>
        <w:t>Regeste</w:t>
      </w:r>
    </w:p>
    <w:p>
      <w:r>
        <w:t>Regeste Art. 145 Abs. 1 OG. Zulässigkeit des Erläuterungsgesuchs.</w:t>
      </w:r>
    </w:p>
    <w:p>
      <w:pPr>
        <w:pStyle w:val="Heading2"/>
      </w:pPr>
      <w:r>
        <w:t>Erwägungen</w:t>
      </w:r>
    </w:p>
    <w:p>
      <w:r>
        <w:rPr>
          <w:b/>
        </w:rPr>
        <w:t>E. 1</w:t>
      </w:r>
    </w:p>
    <w:p>
      <w:r>
        <w:t>Nach Art. 145 Abs. 1 OG nimmt das Bundesgericht die Erläuterung eines von ihm gefällten Urteils vor, wenn dessen Rechtsspruch unklar, unvollständig oder zweideutig ist oder wenn seine Bestimmungen untereinander oder mit den Erwägungen im Widerspruch stehen. Gegenstand der Erläuterung ist somit grundsätzlich nur das Dispositiv. Dass das Dispositiv des Urteils vom 5. September 1977 unklar, unvollständig oder zweideutig sei, wird mit Recht nicht behauptet. Die Erläuterung kann jedoch auch hinsichtlich der Erwägungen eines bundesgerichtlichen Urteils verlangt werden, wenn Sinn und Tragweite des Dispositivs erst durch Beizug der Entscheidungsgründe ermittelt werden können (BIRCHMEIER, Bundesrechtspflege, S. 516). Wenn die SUVA im Urteil vom 5. September 1977 verhalten wurde, "im Sinne der Erwägungen" zu verfahren, so bezog sich das auf die erwähnte Erw. II. 4, deren Sinn heute zwischen den Parteien BGE 104 V 51 S. 54 umstritten ist. Hinsichtlich dieser Erwägung ist daher das Erläuterungsgesuch zulässig. Auf dieses Gesuch ist somit einzutreten.</w:t>
      </w:r>
    </w:p>
    <w:p>
      <w:r>
        <w:rPr>
          <w:b/>
        </w:rPr>
        <w:t>E. 2</w:t>
      </w:r>
    </w:p>
    <w:p>
      <w:r>
        <w:t>Das Erläuterungsverfahren nach Art. 145 OG bezweckt, eine Unklarheit, Unvollständigkeit oder Zweideutigkeit in einem bundesgerichtlichen Urteil zu beheben. Jedoch kann in diesem Verfahren nicht das ergangene Urteil durch ein anderes ersetzt werden. Darauf läuft das Begehren des Dr. S. aber hinaus, wenn er beantragt, die SUVA sei zu bestimmten Leistungen zu verurteilen, während das Urteil des Eidg. Versicherungsgerichts auf Rückweisung der Sache an die SUVA lautet. Dieser Antrag ist deshalb zum vorneherein unbegründet und abzuweisen.</w:t>
      </w:r>
    </w:p>
    <w:p>
      <w:r>
        <w:rPr>
          <w:b/>
        </w:rPr>
        <w:t>E. 3</w:t>
      </w:r>
    </w:p>
    <w:p>
      <w:r>
        <w:t>Dagegen ist näher zu prüfen, ob die fragliche Stelle in den Erwägungen des Urteils vom 5. September 1977 einer Klarstellung oder Vervollständigung bedarf. Das Eidg. Versicherungsgericht hat die SUVA verhalten, abzuklären, "ob der Beschwerdeführer die für die geschiedene Frau und das Kind Eliane bestimmten Renten vollumfänglich weitergeleitet und auch die Unterhaltsbeiträge gemäss Scheidungsurteil regelmässig überwiesen hat". Dem hat das Gericht beigefügt: "Träfe dies zu, so wären die streitigen Renten der Invalidenversicherung nicht in die Überversicherungsrechnung einzubeziehen". Mit dieser Formulierung ist zunächst in direkter Weise der Fall geregelt, dass Eugen Z. seinen Verpflichtungen nachgekommen sein sollte: die IV-Zusatzrenten wären diesfalls nicht in die Überversicherungsrechnung einzubeziehen. In indirekter Weise lässt aber die zitierte Formulierung auch den Umkehrschluss zu, dass diese Zusatzrenten in die Überversicherungsrechnung einbezogen werden müssten, falls Eugen Z. seinen Verpflichtungen nicht nachgekommen wäre. Diese beiden Fälle sind an sich klar und bedürfen keiner Erläuterung. Die Meinungsverschiedenheit der Parteien betrifft ein zusätzliches, neues Problem. Dr. S. verlangt nämlich, dass die Offerte des Eugen Z. auf Nachzahlungen der ausstehenden Unterhaltsbeiträge aus seiner Nachforderung gegenüber der SUVA der Erfüllung seiner laufenden Alimentationsverpflichtung gleichgestellt werde; entscheidend sei, dass die Alimentenschuld überhaupt getilgt werde, und nicht der Zeitpunkt, in dem dies geschehe. Dieses Problem stellte sich dem Eidg. BGE 104 V 51 S. 55 Versicherungsgericht nicht, als es sein Urteil fällte. Es ergab sich erst aus dem neuen Sachverhalt, indem Eugen Z. der SUVA seinen Vorschlag unterbreitete. Die Erläuterung einer Frage, die vom Eidg. Versicherungsgericht nicht zu prüfen war und die es daher nicht geprüft hat, ist aber ausgeschlossen (vgl. BIRCHMEIER S. 516). Dispositiv Demnach erkennt das Eidg. Versicherungsgericht: Das Erläuterungsgesuch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